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490" w:rsidRPr="001B3009" w:rsidRDefault="001B3009" w:rsidP="006E4490">
      <w:pPr>
        <w:spacing w:after="0" w:line="240" w:lineRule="auto"/>
        <w:rPr>
          <w:rFonts w:ascii="Canaro Book" w:hAnsi="Canaro Book"/>
          <w:color w:val="4F81BD" w:themeColor="accent1"/>
          <w:sz w:val="32"/>
          <w:szCs w:val="32"/>
          <w:lang w:val="en-GB"/>
        </w:rPr>
      </w:pPr>
      <w:r w:rsidRPr="001B3009">
        <w:rPr>
          <w:rFonts w:ascii="Canaro Book" w:hAnsi="Canaro Book"/>
          <w:color w:val="4F81BD" w:themeColor="accent1"/>
          <w:sz w:val="32"/>
          <w:szCs w:val="32"/>
          <w:lang w:val="en-GB"/>
        </w:rPr>
        <w:t xml:space="preserve">HANDOUT 9.1: COMMUNICATION DO’S AND DON’TS </w:t>
      </w:r>
    </w:p>
    <w:p w:rsidR="00F367D6" w:rsidRPr="00173DE9" w:rsidRDefault="00F367D6" w:rsidP="00F367D6">
      <w:pPr>
        <w:pStyle w:val="NoSpacing"/>
        <w:jc w:val="center"/>
        <w:rPr>
          <w:rFonts w:asciiTheme="minorBidi" w:hAnsiTheme="minorBidi"/>
          <w:b/>
          <w:bCs/>
          <w:color w:val="4F81BD" w:themeColor="accent1"/>
          <w:sz w:val="24"/>
          <w:szCs w:val="24"/>
          <w:lang w:val="en-GB"/>
        </w:rPr>
      </w:pPr>
    </w:p>
    <w:p w:rsidR="001B3009" w:rsidRDefault="001B3009" w:rsidP="005D01A0">
      <w:pPr>
        <w:pStyle w:val="NoSpacing"/>
        <w:spacing w:after="120"/>
        <w:jc w:val="both"/>
        <w:rPr>
          <w:rFonts w:ascii="Open Sans" w:hAnsi="Open Sans" w:cs="Open Sans"/>
          <w:b/>
          <w:bCs/>
          <w:color w:val="4F81BD" w:themeColor="accent1"/>
        </w:rPr>
      </w:pPr>
      <w:r>
        <w:rPr>
          <w:rFonts w:ascii="Open Sans" w:hAnsi="Open Sans" w:cs="Open Sans"/>
          <w:b/>
          <w:bCs/>
          <w:color w:val="4F81BD" w:themeColor="accent1"/>
        </w:rPr>
        <w:t>Things To Do</w:t>
      </w:r>
    </w:p>
    <w:p w:rsidR="00173DE9" w:rsidRPr="001B3009" w:rsidRDefault="00173DE9" w:rsidP="005D01A0">
      <w:pPr>
        <w:pStyle w:val="NoSpacing"/>
        <w:spacing w:after="120"/>
        <w:jc w:val="both"/>
        <w:rPr>
          <w:rFonts w:ascii="Open Sans" w:hAnsi="Open Sans" w:cs="Open Sans"/>
          <w:b/>
          <w:bCs/>
          <w:color w:val="4F81BD" w:themeColor="accent1"/>
        </w:rPr>
      </w:pPr>
      <w:r w:rsidRPr="001B3009">
        <w:rPr>
          <w:rFonts w:ascii="Open Sans" w:hAnsi="Open Sans" w:cs="Open Sans"/>
          <w:b/>
          <w:bCs/>
          <w:color w:val="4F81BD" w:themeColor="accent1"/>
        </w:rPr>
        <w:t>Verbal communication</w:t>
      </w:r>
    </w:p>
    <w:p w:rsidR="00173DE9"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Concentrate on what is being said;</w:t>
      </w:r>
    </w:p>
    <w:p w:rsidR="00173DE9"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Skillful listening is more than just paying attention to what is said. It is important to be responsive and to communicate that you are following what the other person is saying (nod, affirm).</w:t>
      </w:r>
    </w:p>
    <w:p w:rsidR="00173DE9"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Paraphrase what was said to ensure understanding (“what I hear you saying is…”);</w:t>
      </w:r>
    </w:p>
    <w:p w:rsidR="00173DE9" w:rsidRPr="001B3009" w:rsidRDefault="00173DE9" w:rsidP="005D01A0">
      <w:pPr>
        <w:pStyle w:val="NoSpacing"/>
        <w:numPr>
          <w:ilvl w:val="0"/>
          <w:numId w:val="2"/>
        </w:numPr>
        <w:jc w:val="both"/>
        <w:rPr>
          <w:rFonts w:ascii="Open Sans" w:hAnsi="Open Sans" w:cs="Open Sans"/>
        </w:rPr>
      </w:pPr>
      <w:r w:rsidRPr="001B3009">
        <w:rPr>
          <w:rFonts w:ascii="Open Sans" w:hAnsi="Open Sans" w:cs="Open Sans"/>
        </w:rPr>
        <w:t>Avoid expressions of disapproval of actions or feelings;</w:t>
      </w:r>
    </w:p>
    <w:p w:rsidR="00173DE9"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Use clarifying questions and statements;</w:t>
      </w:r>
    </w:p>
    <w:p w:rsidR="0058061B"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Listen and look for feelings</w:t>
      </w:r>
      <w:r w:rsidR="0058061B" w:rsidRPr="001B3009">
        <w:rPr>
          <w:rFonts w:ascii="Open Sans" w:hAnsi="Open Sans" w:cs="Open Sans"/>
        </w:rPr>
        <w:t>, display empathy (“I am sorry this happened to you. It wasn’t your fault”)</w:t>
      </w:r>
    </w:p>
    <w:p w:rsidR="00173DE9" w:rsidRPr="001B3009" w:rsidRDefault="0058061B" w:rsidP="00173DE9">
      <w:pPr>
        <w:pStyle w:val="NoSpacing"/>
        <w:numPr>
          <w:ilvl w:val="0"/>
          <w:numId w:val="2"/>
        </w:numPr>
        <w:jc w:val="both"/>
        <w:rPr>
          <w:rFonts w:ascii="Open Sans" w:hAnsi="Open Sans" w:cs="Open Sans"/>
        </w:rPr>
      </w:pPr>
      <w:r w:rsidRPr="001B3009">
        <w:rPr>
          <w:rFonts w:ascii="Open Sans" w:hAnsi="Open Sans" w:cs="Open Sans"/>
        </w:rPr>
        <w:t>A</w:t>
      </w:r>
      <w:r w:rsidR="00173DE9" w:rsidRPr="001B3009">
        <w:rPr>
          <w:rFonts w:ascii="Open Sans" w:hAnsi="Open Sans" w:cs="Open Sans"/>
        </w:rPr>
        <w:t>cknowledge and reflect back: “it sounds like this was</w:t>
      </w:r>
      <w:r w:rsidRPr="001B3009">
        <w:rPr>
          <w:rFonts w:ascii="Open Sans" w:hAnsi="Open Sans" w:cs="Open Sans"/>
        </w:rPr>
        <w:t xml:space="preserve"> very</w:t>
      </w:r>
      <w:r w:rsidR="00173DE9" w:rsidRPr="001B3009">
        <w:rPr>
          <w:rFonts w:ascii="Open Sans" w:hAnsi="Open Sans" w:cs="Open Sans"/>
        </w:rPr>
        <w:t xml:space="preserve"> stressful for you…”</w:t>
      </w:r>
    </w:p>
    <w:p w:rsidR="00173DE9" w:rsidRPr="001B3009" w:rsidRDefault="00173DE9" w:rsidP="00173DE9">
      <w:pPr>
        <w:pStyle w:val="NoSpacing"/>
        <w:numPr>
          <w:ilvl w:val="0"/>
          <w:numId w:val="2"/>
        </w:numPr>
        <w:jc w:val="both"/>
        <w:rPr>
          <w:rFonts w:ascii="Open Sans" w:hAnsi="Open Sans" w:cs="Open Sans"/>
        </w:rPr>
      </w:pPr>
      <w:r w:rsidRPr="001B3009">
        <w:rPr>
          <w:rFonts w:ascii="Open Sans" w:hAnsi="Open Sans" w:cs="Open Sans"/>
        </w:rPr>
        <w:t>Acknowledge the person’s strengths and self-efficacy. “It’s really great how you made your own shelter….you are very resourceful.”</w:t>
      </w:r>
    </w:p>
    <w:p w:rsidR="00173DE9" w:rsidRPr="001B3009" w:rsidRDefault="00173DE9" w:rsidP="00806037">
      <w:pPr>
        <w:pStyle w:val="NoSpacing"/>
        <w:jc w:val="both"/>
        <w:rPr>
          <w:rFonts w:ascii="Open Sans" w:hAnsi="Open Sans" w:cs="Open Sans"/>
          <w:b/>
          <w:bCs/>
          <w:color w:val="4F81BD" w:themeColor="accent1"/>
        </w:rPr>
      </w:pPr>
    </w:p>
    <w:p w:rsidR="00806037" w:rsidRPr="001B3009" w:rsidRDefault="00173DE9" w:rsidP="005D01A0">
      <w:pPr>
        <w:pStyle w:val="NoSpacing"/>
        <w:spacing w:after="120"/>
        <w:jc w:val="both"/>
        <w:rPr>
          <w:rFonts w:ascii="Open Sans" w:hAnsi="Open Sans" w:cs="Open Sans"/>
          <w:b/>
          <w:bCs/>
          <w:color w:val="4F81BD" w:themeColor="accent1"/>
        </w:rPr>
      </w:pPr>
      <w:r w:rsidRPr="001B3009">
        <w:rPr>
          <w:rFonts w:ascii="Open Sans" w:hAnsi="Open Sans" w:cs="Open Sans"/>
          <w:b/>
          <w:bCs/>
          <w:color w:val="4F81BD" w:themeColor="accent1"/>
        </w:rPr>
        <w:t>N</w:t>
      </w:r>
      <w:r w:rsidR="00806037" w:rsidRPr="001B3009">
        <w:rPr>
          <w:rFonts w:ascii="Open Sans" w:hAnsi="Open Sans" w:cs="Open Sans"/>
          <w:b/>
          <w:bCs/>
          <w:color w:val="4F81BD" w:themeColor="accent1"/>
        </w:rPr>
        <w:t>on-verbal communication</w:t>
      </w:r>
    </w:p>
    <w:p w:rsidR="00173DE9" w:rsidRPr="001B3009" w:rsidRDefault="00173DE9" w:rsidP="005D01A0">
      <w:pPr>
        <w:pStyle w:val="NoSpacing"/>
        <w:spacing w:after="120"/>
        <w:jc w:val="both"/>
        <w:rPr>
          <w:rFonts w:ascii="Open Sans" w:hAnsi="Open Sans" w:cs="Open Sans"/>
        </w:rPr>
      </w:pPr>
      <w:r w:rsidRPr="001B3009">
        <w:rPr>
          <w:rFonts w:ascii="Open Sans" w:hAnsi="Open Sans" w:cs="Open Sans"/>
        </w:rPr>
        <w:t>Non-verbal communication varies markedly from culture to culture. The following are issues to consider, but these should be discussed and adapted in your context:</w:t>
      </w:r>
    </w:p>
    <w:p w:rsidR="00173DE9" w:rsidRPr="001B3009" w:rsidRDefault="00173DE9" w:rsidP="00806037">
      <w:pPr>
        <w:pStyle w:val="NoSpacing"/>
        <w:numPr>
          <w:ilvl w:val="0"/>
          <w:numId w:val="1"/>
        </w:numPr>
        <w:jc w:val="both"/>
        <w:rPr>
          <w:rFonts w:ascii="Open Sans" w:hAnsi="Open Sans" w:cs="Open Sans"/>
        </w:rPr>
      </w:pPr>
      <w:r w:rsidRPr="001B3009">
        <w:rPr>
          <w:rFonts w:ascii="Open Sans" w:hAnsi="Open Sans" w:cs="Open Sans"/>
        </w:rPr>
        <w:t>Ensure that your non-verbal communication reflects and supports your verbal communication.</w:t>
      </w:r>
    </w:p>
    <w:p w:rsidR="00173DE9" w:rsidRPr="001B3009" w:rsidRDefault="00173DE9" w:rsidP="00173DE9">
      <w:pPr>
        <w:pStyle w:val="NoSpacing"/>
        <w:numPr>
          <w:ilvl w:val="0"/>
          <w:numId w:val="1"/>
        </w:numPr>
        <w:jc w:val="both"/>
        <w:rPr>
          <w:rFonts w:ascii="Open Sans" w:hAnsi="Open Sans" w:cs="Open Sans"/>
        </w:rPr>
      </w:pPr>
      <w:r w:rsidRPr="001B3009">
        <w:rPr>
          <w:rFonts w:ascii="Open Sans" w:hAnsi="Open Sans" w:cs="Open Sans"/>
        </w:rPr>
        <w:t>Face the survivor, but do not do so in a way that will crowd her space or make her feel uncomfortable (it can help to sit in an L shape/kitty-corner);</w:t>
      </w:r>
    </w:p>
    <w:p w:rsidR="00806037" w:rsidRPr="001B3009" w:rsidRDefault="00806037" w:rsidP="00806037">
      <w:pPr>
        <w:pStyle w:val="NoSpacing"/>
        <w:numPr>
          <w:ilvl w:val="0"/>
          <w:numId w:val="1"/>
        </w:numPr>
        <w:jc w:val="both"/>
        <w:rPr>
          <w:rFonts w:ascii="Open Sans" w:hAnsi="Open Sans" w:cs="Open Sans"/>
        </w:rPr>
      </w:pPr>
      <w:r w:rsidRPr="001B3009">
        <w:rPr>
          <w:rFonts w:ascii="Open Sans" w:hAnsi="Open Sans" w:cs="Open Sans"/>
        </w:rPr>
        <w:t>Display an open posture</w:t>
      </w:r>
      <w:r w:rsidR="00173DE9" w:rsidRPr="001B3009">
        <w:rPr>
          <w:rFonts w:ascii="Open Sans" w:hAnsi="Open Sans" w:cs="Open Sans"/>
        </w:rPr>
        <w:t>, avoid crossing arms in front of your body</w:t>
      </w:r>
      <w:r w:rsidRPr="001B3009">
        <w:rPr>
          <w:rFonts w:ascii="Open Sans" w:hAnsi="Open Sans" w:cs="Open Sans"/>
        </w:rPr>
        <w:t>;</w:t>
      </w:r>
    </w:p>
    <w:p w:rsidR="00806037" w:rsidRPr="001B3009" w:rsidRDefault="00806037" w:rsidP="00806037">
      <w:pPr>
        <w:pStyle w:val="NoSpacing"/>
        <w:numPr>
          <w:ilvl w:val="0"/>
          <w:numId w:val="1"/>
        </w:numPr>
        <w:jc w:val="both"/>
        <w:rPr>
          <w:rFonts w:ascii="Open Sans" w:hAnsi="Open Sans" w:cs="Open Sans"/>
        </w:rPr>
      </w:pPr>
      <w:r w:rsidRPr="001B3009">
        <w:rPr>
          <w:rFonts w:ascii="Open Sans" w:hAnsi="Open Sans" w:cs="Open Sans"/>
        </w:rPr>
        <w:t>Stay near the person, but keep an appropriate distance;</w:t>
      </w:r>
    </w:p>
    <w:p w:rsidR="00173DE9" w:rsidRPr="001B3009" w:rsidRDefault="00173DE9" w:rsidP="00806037">
      <w:pPr>
        <w:pStyle w:val="NoSpacing"/>
        <w:numPr>
          <w:ilvl w:val="0"/>
          <w:numId w:val="1"/>
        </w:numPr>
        <w:jc w:val="both"/>
        <w:rPr>
          <w:rFonts w:ascii="Open Sans" w:hAnsi="Open Sans" w:cs="Open Sans"/>
        </w:rPr>
      </w:pPr>
      <w:r w:rsidRPr="001B3009">
        <w:rPr>
          <w:rFonts w:ascii="Open Sans" w:hAnsi="Open Sans" w:cs="Open Sans"/>
        </w:rPr>
        <w:t xml:space="preserve">Consider the appropriate level of eye-contact in your context. You want to make sure the survivor knows that you are engaged and listening, but that she does not feel uncomfortable. </w:t>
      </w:r>
    </w:p>
    <w:p w:rsidR="00173DE9" w:rsidRPr="001B3009" w:rsidRDefault="00173DE9" w:rsidP="00806037">
      <w:pPr>
        <w:pStyle w:val="NoSpacing"/>
        <w:numPr>
          <w:ilvl w:val="0"/>
          <w:numId w:val="1"/>
        </w:numPr>
        <w:jc w:val="both"/>
        <w:rPr>
          <w:rFonts w:ascii="Open Sans" w:hAnsi="Open Sans" w:cs="Open Sans"/>
        </w:rPr>
      </w:pPr>
      <w:r w:rsidRPr="001B3009">
        <w:rPr>
          <w:rFonts w:ascii="Open Sans" w:hAnsi="Open Sans" w:cs="Open Sans"/>
        </w:rPr>
        <w:t xml:space="preserve">Consider also the level of touch that is appropriate in your setting and for the individual. </w:t>
      </w:r>
    </w:p>
    <w:p w:rsidR="00806037" w:rsidRPr="001B3009" w:rsidRDefault="00806037" w:rsidP="00806037">
      <w:pPr>
        <w:pStyle w:val="NoSpacing"/>
        <w:jc w:val="both"/>
        <w:rPr>
          <w:rFonts w:ascii="Open Sans" w:hAnsi="Open Sans" w:cs="Open Sans"/>
        </w:rPr>
      </w:pPr>
    </w:p>
    <w:p w:rsidR="00806037" w:rsidRPr="001B3009" w:rsidRDefault="001B3009" w:rsidP="005D01A0">
      <w:pPr>
        <w:pStyle w:val="NoSpacing"/>
        <w:spacing w:after="120"/>
        <w:jc w:val="both"/>
        <w:rPr>
          <w:rFonts w:ascii="Open Sans" w:hAnsi="Open Sans" w:cs="Open Sans"/>
          <w:b/>
          <w:bCs/>
          <w:color w:val="4F81BD" w:themeColor="accent1"/>
        </w:rPr>
      </w:pPr>
      <w:r>
        <w:rPr>
          <w:rFonts w:ascii="Open Sans" w:hAnsi="Open Sans" w:cs="Open Sans"/>
          <w:b/>
          <w:bCs/>
          <w:color w:val="4F81BD" w:themeColor="accent1"/>
        </w:rPr>
        <w:t xml:space="preserve">Things </w:t>
      </w:r>
      <w:r w:rsidR="00806037" w:rsidRPr="001B3009">
        <w:rPr>
          <w:rFonts w:ascii="Open Sans" w:hAnsi="Open Sans" w:cs="Open Sans"/>
          <w:b/>
          <w:bCs/>
          <w:color w:val="4F81BD" w:themeColor="accent1"/>
        </w:rPr>
        <w:t>Not</w:t>
      </w:r>
      <w:r>
        <w:rPr>
          <w:rFonts w:ascii="Open Sans" w:hAnsi="Open Sans" w:cs="Open Sans"/>
          <w:b/>
          <w:bCs/>
          <w:color w:val="4F81BD" w:themeColor="accent1"/>
        </w:rPr>
        <w:t xml:space="preserve"> to</w:t>
      </w:r>
      <w:r w:rsidR="00806037" w:rsidRPr="001B3009">
        <w:rPr>
          <w:rFonts w:ascii="Open Sans" w:hAnsi="Open Sans" w:cs="Open Sans"/>
          <w:b/>
          <w:bCs/>
          <w:color w:val="4F81BD" w:themeColor="accent1"/>
        </w:rPr>
        <w:t xml:space="preserve"> Do</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Make false promises;</w:t>
      </w:r>
      <w:r w:rsidR="00344F7D" w:rsidRPr="001B3009">
        <w:rPr>
          <w:rFonts w:ascii="Open Sans" w:hAnsi="Open Sans" w:cs="Open Sans"/>
        </w:rPr>
        <w:t xml:space="preserve"> </w:t>
      </w:r>
      <w:r w:rsidR="00241E55" w:rsidRPr="001B3009">
        <w:rPr>
          <w:rFonts w:ascii="Open Sans" w:hAnsi="Open Sans" w:cs="Open Sans"/>
        </w:rPr>
        <w:t>(“everything’s going to be OK”)</w:t>
      </w:r>
    </w:p>
    <w:p w:rsidR="00806037" w:rsidRPr="001B3009" w:rsidRDefault="00173DE9" w:rsidP="00806037">
      <w:pPr>
        <w:pStyle w:val="NoSpacing"/>
        <w:numPr>
          <w:ilvl w:val="0"/>
          <w:numId w:val="3"/>
        </w:numPr>
        <w:jc w:val="both"/>
        <w:rPr>
          <w:rFonts w:ascii="Open Sans" w:hAnsi="Open Sans" w:cs="Open Sans"/>
        </w:rPr>
      </w:pPr>
      <w:r w:rsidRPr="001B3009">
        <w:rPr>
          <w:rFonts w:ascii="Open Sans" w:hAnsi="Open Sans" w:cs="Open Sans"/>
        </w:rPr>
        <w:t xml:space="preserve">Tell survivors you think their experiences were terrible </w:t>
      </w:r>
      <w:r w:rsidR="00806037" w:rsidRPr="001B3009">
        <w:rPr>
          <w:rFonts w:ascii="Open Sans" w:hAnsi="Open Sans" w:cs="Open Sans"/>
        </w:rPr>
        <w:t>(“you are so unlucky?”, “what else can happen to you”)</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Blame (“you were not following religion so it is a curse from God”)</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Touch the person if not appropriate</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Dress/behave in ways that are culturally offensive (dress modestly)</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Rush the person (look at your watch or speak fast)</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Feel you have to solve the person’s problems</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lastRenderedPageBreak/>
        <w:t>Take away the person’s strength and sense of being able to care for themselves</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Expose people to media (e.g. photography of people without permission)</w:t>
      </w:r>
    </w:p>
    <w:p w:rsidR="00806037" w:rsidRPr="001B3009" w:rsidRDefault="00806037" w:rsidP="00806037">
      <w:pPr>
        <w:pStyle w:val="NoSpacing"/>
        <w:numPr>
          <w:ilvl w:val="0"/>
          <w:numId w:val="3"/>
        </w:numPr>
        <w:jc w:val="both"/>
        <w:rPr>
          <w:rFonts w:ascii="Open Sans" w:hAnsi="Open Sans" w:cs="Open Sans"/>
        </w:rPr>
      </w:pPr>
      <w:r w:rsidRPr="001B3009">
        <w:rPr>
          <w:rFonts w:ascii="Open Sans" w:hAnsi="Open Sans" w:cs="Open Sans"/>
        </w:rPr>
        <w:t xml:space="preserve">Use </w:t>
      </w:r>
      <w:r w:rsidR="00241E55" w:rsidRPr="001B3009">
        <w:rPr>
          <w:rFonts w:ascii="Open Sans" w:hAnsi="Open Sans" w:cs="Open Sans"/>
        </w:rPr>
        <w:t>language or</w:t>
      </w:r>
      <w:r w:rsidRPr="001B3009">
        <w:rPr>
          <w:rFonts w:ascii="Open Sans" w:hAnsi="Open Sans" w:cs="Open Sans"/>
        </w:rPr>
        <w:t xml:space="preserve"> words that are difficult to understand (use their language as much as possible)</w:t>
      </w:r>
    </w:p>
    <w:p w:rsidR="00F154F9" w:rsidRPr="001B3009" w:rsidRDefault="00806037" w:rsidP="0071703E">
      <w:pPr>
        <w:pStyle w:val="NoSpacing"/>
        <w:numPr>
          <w:ilvl w:val="0"/>
          <w:numId w:val="3"/>
        </w:numPr>
        <w:jc w:val="both"/>
        <w:rPr>
          <w:rFonts w:ascii="Open Sans" w:hAnsi="Open Sans" w:cs="Open Sans"/>
        </w:rPr>
      </w:pPr>
      <w:r w:rsidRPr="001B3009">
        <w:rPr>
          <w:rFonts w:ascii="Open Sans" w:hAnsi="Open Sans" w:cs="Open Sans"/>
        </w:rPr>
        <w:t>Stare at people (maintain normal eye contact)</w:t>
      </w:r>
    </w:p>
    <w:sectPr w:rsidR="00F154F9" w:rsidRPr="001B3009" w:rsidSect="0020401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aro Book">
    <w:panose1 w:val="00000000000000000000"/>
    <w:charset w:val="00"/>
    <w:family w:val="modern"/>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pt;height:9pt" o:bullet="t">
        <v:imagedata r:id="rId1" o:title="BD15173_"/>
      </v:shape>
    </w:pict>
  </w:numPicBullet>
  <w:abstractNum w:abstractNumId="0">
    <w:nsid w:val="23CB4C4B"/>
    <w:multiLevelType w:val="hybridMultilevel"/>
    <w:tmpl w:val="5DA630CC"/>
    <w:lvl w:ilvl="0" w:tplc="D86A09F2">
      <w:start w:val="1"/>
      <w:numFmt w:val="bullet"/>
      <w:lvlText w:val=""/>
      <w:lvlPicBulletId w:val="0"/>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3A6860E0"/>
    <w:multiLevelType w:val="hybridMultilevel"/>
    <w:tmpl w:val="95380CC6"/>
    <w:lvl w:ilvl="0" w:tplc="D86A09F2">
      <w:start w:val="1"/>
      <w:numFmt w:val="bullet"/>
      <w:lvlText w:val=""/>
      <w:lvlPicBulletId w:val="0"/>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0E12DA0"/>
    <w:multiLevelType w:val="hybridMultilevel"/>
    <w:tmpl w:val="1428B94E"/>
    <w:lvl w:ilvl="0" w:tplc="D86A09F2">
      <w:start w:val="1"/>
      <w:numFmt w:val="bullet"/>
      <w:lvlText w:val=""/>
      <w:lvlPicBulletId w:val="0"/>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67D6"/>
    <w:rsid w:val="0008199C"/>
    <w:rsid w:val="001021EE"/>
    <w:rsid w:val="00156094"/>
    <w:rsid w:val="00173DE9"/>
    <w:rsid w:val="001B3009"/>
    <w:rsid w:val="001C4A9B"/>
    <w:rsid w:val="001C5D5D"/>
    <w:rsid w:val="001E4F25"/>
    <w:rsid w:val="001F4189"/>
    <w:rsid w:val="00204013"/>
    <w:rsid w:val="00241E55"/>
    <w:rsid w:val="00257741"/>
    <w:rsid w:val="002D1D87"/>
    <w:rsid w:val="00330619"/>
    <w:rsid w:val="00344F7D"/>
    <w:rsid w:val="003C54EB"/>
    <w:rsid w:val="0040617C"/>
    <w:rsid w:val="0040716F"/>
    <w:rsid w:val="00420AB0"/>
    <w:rsid w:val="00434A20"/>
    <w:rsid w:val="00473899"/>
    <w:rsid w:val="00474FBC"/>
    <w:rsid w:val="00483D0C"/>
    <w:rsid w:val="00496DEF"/>
    <w:rsid w:val="004A3D10"/>
    <w:rsid w:val="00513441"/>
    <w:rsid w:val="00521E02"/>
    <w:rsid w:val="0058061B"/>
    <w:rsid w:val="0059293D"/>
    <w:rsid w:val="005D01A0"/>
    <w:rsid w:val="00620FCB"/>
    <w:rsid w:val="00687819"/>
    <w:rsid w:val="006E4490"/>
    <w:rsid w:val="00735C5A"/>
    <w:rsid w:val="00806037"/>
    <w:rsid w:val="0083036A"/>
    <w:rsid w:val="00831DDB"/>
    <w:rsid w:val="00885966"/>
    <w:rsid w:val="00960F44"/>
    <w:rsid w:val="00961B8C"/>
    <w:rsid w:val="00A003D2"/>
    <w:rsid w:val="00A00441"/>
    <w:rsid w:val="00A22C0F"/>
    <w:rsid w:val="00A65234"/>
    <w:rsid w:val="00AB0BA3"/>
    <w:rsid w:val="00AC7ED9"/>
    <w:rsid w:val="00AD1240"/>
    <w:rsid w:val="00AF02FE"/>
    <w:rsid w:val="00B403D7"/>
    <w:rsid w:val="00B44573"/>
    <w:rsid w:val="00B76CFE"/>
    <w:rsid w:val="00C0615A"/>
    <w:rsid w:val="00C442EA"/>
    <w:rsid w:val="00C511BB"/>
    <w:rsid w:val="00C73A55"/>
    <w:rsid w:val="00CB5EEB"/>
    <w:rsid w:val="00D05460"/>
    <w:rsid w:val="00D31D24"/>
    <w:rsid w:val="00DC6D44"/>
    <w:rsid w:val="00DE583C"/>
    <w:rsid w:val="00EA265D"/>
    <w:rsid w:val="00EC49F9"/>
    <w:rsid w:val="00EF6A59"/>
    <w:rsid w:val="00F054E5"/>
    <w:rsid w:val="00F154F9"/>
    <w:rsid w:val="00F338F8"/>
    <w:rsid w:val="00F367D6"/>
    <w:rsid w:val="00F6000C"/>
    <w:rsid w:val="00F9188D"/>
    <w:rsid w:val="00FB65D2"/>
    <w:rsid w:val="00FD5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4F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Heading 2 Hanin"/>
    <w:link w:val="NoSpacingChar"/>
    <w:uiPriority w:val="1"/>
    <w:qFormat/>
    <w:rsid w:val="00F367D6"/>
    <w:pPr>
      <w:spacing w:after="0" w:line="240" w:lineRule="auto"/>
    </w:pPr>
  </w:style>
  <w:style w:type="character" w:customStyle="1" w:styleId="NoSpacingChar">
    <w:name w:val="No Spacing Char"/>
    <w:aliases w:val="Heading 2 Hanin Char"/>
    <w:basedOn w:val="DefaultParagraphFont"/>
    <w:link w:val="NoSpacing"/>
    <w:uiPriority w:val="1"/>
    <w:rsid w:val="00F154F9"/>
  </w:style>
  <w:style w:type="character" w:styleId="CommentReference">
    <w:name w:val="annotation reference"/>
    <w:basedOn w:val="DefaultParagraphFont"/>
    <w:uiPriority w:val="99"/>
    <w:semiHidden/>
    <w:unhideWhenUsed/>
    <w:rsid w:val="00F154F9"/>
    <w:rPr>
      <w:sz w:val="16"/>
      <w:szCs w:val="16"/>
    </w:rPr>
  </w:style>
  <w:style w:type="paragraph" w:styleId="CommentText">
    <w:name w:val="annotation text"/>
    <w:basedOn w:val="Normal"/>
    <w:link w:val="CommentTextChar"/>
    <w:uiPriority w:val="99"/>
    <w:unhideWhenUsed/>
    <w:rsid w:val="00F154F9"/>
    <w:pPr>
      <w:spacing w:line="240" w:lineRule="auto"/>
    </w:pPr>
    <w:rPr>
      <w:sz w:val="20"/>
      <w:szCs w:val="20"/>
    </w:rPr>
  </w:style>
  <w:style w:type="character" w:customStyle="1" w:styleId="CommentTextChar">
    <w:name w:val="Comment Text Char"/>
    <w:basedOn w:val="DefaultParagraphFont"/>
    <w:link w:val="CommentText"/>
    <w:uiPriority w:val="99"/>
    <w:rsid w:val="00F154F9"/>
    <w:rPr>
      <w:rFonts w:ascii="Calibri" w:eastAsia="Calibri" w:hAnsi="Calibri" w:cs="Arial"/>
      <w:sz w:val="20"/>
      <w:szCs w:val="20"/>
    </w:rPr>
  </w:style>
  <w:style w:type="paragraph" w:styleId="BalloonText">
    <w:name w:val="Balloon Text"/>
    <w:basedOn w:val="Normal"/>
    <w:link w:val="BalloonTextChar"/>
    <w:uiPriority w:val="99"/>
    <w:semiHidden/>
    <w:unhideWhenUsed/>
    <w:rsid w:val="00F15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4F9"/>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C73A55"/>
    <w:rPr>
      <w:b/>
      <w:bCs/>
    </w:rPr>
  </w:style>
  <w:style w:type="character" w:customStyle="1" w:styleId="CommentSubjectChar">
    <w:name w:val="Comment Subject Char"/>
    <w:basedOn w:val="CommentTextChar"/>
    <w:link w:val="CommentSubject"/>
    <w:uiPriority w:val="99"/>
    <w:semiHidden/>
    <w:rsid w:val="00C73A55"/>
    <w:rPr>
      <w:rFonts w:ascii="Calibri" w:eastAsia="Calibri" w:hAnsi="Calibri"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dc:creator>
  <cp:lastModifiedBy>IRCAdmin</cp:lastModifiedBy>
  <cp:revision>2</cp:revision>
  <dcterms:created xsi:type="dcterms:W3CDTF">2017-04-06T20:32:00Z</dcterms:created>
  <dcterms:modified xsi:type="dcterms:W3CDTF">2017-04-06T20:32:00Z</dcterms:modified>
</cp:coreProperties>
</file>